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left="1680" w:hanging="1680"/>
        <w:jc w:val="left"/>
        <w:rPr>
          <w:rFonts w:cs="仿宋_GB2312"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附件1</w:t>
      </w:r>
    </w:p>
    <w:p>
      <w:pPr>
        <w:adjustRightInd w:val="0"/>
        <w:snapToGrid w:val="0"/>
        <w:spacing w:line="580" w:lineRule="exact"/>
        <w:ind w:left="1680" w:hanging="1680"/>
        <w:jc w:val="center"/>
        <w:rPr>
          <w:rFonts w:hint="eastAsia" w:ascii="仿宋_GB2312" w:hAnsi="仿宋_GB2312" w:eastAsia="仿宋_GB2312" w:cs="仿宋_GB2312"/>
          <w:sz w:val="24"/>
          <w:szCs w:val="24"/>
        </w:rPr>
      </w:pPr>
      <w:bookmarkStart w:id="0" w:name="_GoBack"/>
      <w:r>
        <w:rPr>
          <w:rFonts w:hint="eastAsia" w:ascii="仿宋_GB2312" w:hAnsi="仿宋_GB2312" w:eastAsia="仿宋_GB2312" w:cs="仿宋_GB2312"/>
          <w:sz w:val="24"/>
          <w:szCs w:val="24"/>
        </w:rPr>
        <w:t>宁波市水务环境集团有限公司招聘考试疫情防控公告</w:t>
      </w:r>
    </w:p>
    <w:bookmarkEnd w:id="0"/>
    <w:p>
      <w:pPr>
        <w:adjustRightInd w:val="0"/>
        <w:snapToGrid w:val="0"/>
        <w:spacing w:line="580" w:lineRule="exact"/>
        <w:ind w:left="1680" w:hanging="1680"/>
        <w:jc w:val="center"/>
        <w:rPr>
          <w:rFonts w:hint="eastAsia" w:ascii="仿宋_GB2312" w:hAnsi="仿宋_GB2312" w:eastAsia="仿宋_GB2312" w:cs="仿宋_GB2312"/>
          <w:b/>
          <w:sz w:val="24"/>
          <w:szCs w:val="24"/>
        </w:rPr>
      </w:pPr>
    </w:p>
    <w:p>
      <w:pPr>
        <w:pStyle w:val="4"/>
        <w:spacing w:before="0" w:beforeAutospacing="0" w:after="0" w:afterAutospacing="0"/>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rPr>
        <w:t>为确保</w:t>
      </w:r>
      <w:r>
        <w:rPr>
          <w:rFonts w:hint="eastAsia" w:ascii="仿宋_GB2312" w:hAnsi="仿宋_GB2312" w:eastAsia="仿宋_GB2312" w:cs="仿宋_GB2312"/>
          <w:sz w:val="24"/>
          <w:szCs w:val="24"/>
        </w:rPr>
        <w:t>宁波市水务环境集团有限公司招聘</w:t>
      </w:r>
      <w:r>
        <w:rPr>
          <w:rFonts w:hint="eastAsia" w:ascii="仿宋_GB2312" w:hAnsi="仿宋_GB2312" w:eastAsia="仿宋_GB2312" w:cs="仿宋_GB2312"/>
          <w:kern w:val="2"/>
          <w:sz w:val="24"/>
          <w:szCs w:val="24"/>
        </w:rPr>
        <w:t>考试安全顺利进行，更好保障广大考生健康安全，现将笔试新冠肺炎疫情防控有关事项公告如下：</w:t>
      </w:r>
    </w:p>
    <w:p>
      <w:pPr>
        <w:widowControl/>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一、</w:t>
      </w:r>
      <w:r>
        <w:rPr>
          <w:rFonts w:hint="eastAsia" w:ascii="仿宋_GB2312" w:hAnsi="仿宋_GB2312" w:eastAsia="仿宋_GB2312" w:cs="仿宋_GB2312"/>
          <w:color w:val="000000"/>
          <w:kern w:val="0"/>
          <w:sz w:val="24"/>
          <w:szCs w:val="24"/>
        </w:rPr>
        <w:t>考生应在考试前14天申领“行程码”和“健康码”（甬行码）。“行程码”和“健康码”（甬行码）为绿码且健康状况良好，经现场测量体温正常的考生方可参加考试。等候期间，每位考生须保持间隔为1米以上的安全距离。</w:t>
      </w:r>
    </w:p>
    <w:p>
      <w:pPr>
        <w:widowControl/>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二、</w:t>
      </w:r>
      <w:r>
        <w:rPr>
          <w:rFonts w:hint="eastAsia" w:ascii="仿宋_GB2312" w:hAnsi="仿宋_GB2312" w:eastAsia="仿宋_GB2312" w:cs="仿宋_GB2312"/>
          <w:color w:val="000000"/>
          <w:kern w:val="0"/>
          <w:sz w:val="24"/>
          <w:szCs w:val="24"/>
        </w:rPr>
        <w:t>考生应自备一次性医用外科口罩，并全程佩戴口罩。在核对身份证件材料时，考生应摘下口罩，并尽量缩短时间，以便工作人员确认是否为考生本人。</w:t>
      </w:r>
    </w:p>
    <w:p>
      <w:pPr>
        <w:widowControl/>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三、</w:t>
      </w:r>
      <w:r>
        <w:rPr>
          <w:rFonts w:hint="eastAsia" w:ascii="仿宋_GB2312" w:hAnsi="仿宋_GB2312" w:eastAsia="仿宋_GB2312" w:cs="仿宋_GB2312"/>
          <w:color w:val="000000"/>
          <w:kern w:val="0"/>
          <w:sz w:val="24"/>
          <w:szCs w:val="24"/>
        </w:rPr>
        <w:t>仍处在隔离治疗期的新冠肺炎确诊病例、疑似病例或无症状感染者，以及集中隔离期未满人员，不得参加考试。对“行程码”和“健康码”（甬行码）非绿码的考生，直接劝离考场。按照疫情防控要求需提供相关健康证明但无法提供的考生，不得参加考试。</w:t>
      </w:r>
    </w:p>
    <w:p>
      <w:pPr>
        <w:widowControl/>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四、</w:t>
      </w:r>
      <w:r>
        <w:rPr>
          <w:rFonts w:hint="eastAsia" w:ascii="仿宋_GB2312" w:hAnsi="仿宋_GB2312" w:eastAsia="仿宋_GB2312" w:cs="仿宋_GB2312"/>
          <w:color w:val="000000"/>
          <w:kern w:val="0"/>
          <w:sz w:val="24"/>
          <w:szCs w:val="24"/>
        </w:rPr>
        <w:t>有以下几类情况的考生须</w:t>
      </w:r>
      <w:r>
        <w:rPr>
          <w:rFonts w:hint="eastAsia" w:ascii="仿宋_GB2312" w:hAnsi="仿宋_GB2312" w:eastAsia="仿宋_GB2312" w:cs="仿宋_GB2312"/>
          <w:color w:val="000000"/>
          <w:kern w:val="0"/>
          <w:sz w:val="24"/>
          <w:szCs w:val="24"/>
          <w:lang w:eastAsia="zh-CN"/>
        </w:rPr>
        <w:t>在考前向用人单位</w:t>
      </w:r>
      <w:r>
        <w:rPr>
          <w:rFonts w:hint="eastAsia" w:ascii="仿宋_GB2312" w:hAnsi="仿宋_GB2312" w:eastAsia="仿宋_GB2312" w:cs="仿宋_GB2312"/>
          <w:color w:val="000000"/>
          <w:kern w:val="0"/>
          <w:sz w:val="24"/>
          <w:szCs w:val="24"/>
        </w:rPr>
        <w:t>提供相关证明材料：考前28天有国（境）外旅居史的考生，须完成“14+7+7”管控措施（即14天集中隔离+7天居家健康观察+7天日常健康监测），提供国内第一入境地签发的“解除隔离医学观察通知书”，以及核酸和血清IgM抗体检测均呈阴性的证明材料；考前28天有高风险地区或参照高风险地区管理地区及中风险地区或参照中风险地区管理地区旅居史的考生，须完成“14+7”管控措施（即14天集中隔离医学观察+7天居家健康观察），提供核酸检测阴性的证明;既往新冠肺炎确诊病例、无症状感染者，除提供考前7天内核酸检测阴性证明材料外，还须出具肺部影像学检查无异常的证明；考前7天内有发热呼吸道症状的，须提供核酸检测阴性的证明。</w:t>
      </w:r>
    </w:p>
    <w:p>
      <w:pPr>
        <w:widowControl/>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五、</w:t>
      </w:r>
      <w:r>
        <w:rPr>
          <w:rFonts w:hint="eastAsia" w:ascii="仿宋_GB2312" w:hAnsi="仿宋_GB2312" w:eastAsia="仿宋_GB2312" w:cs="仿宋_GB2312"/>
          <w:color w:val="000000"/>
          <w:kern w:val="0"/>
          <w:sz w:val="24"/>
          <w:szCs w:val="24"/>
        </w:rPr>
        <w:t>考生应当服从配合疫情防控要求和考试现场组织工作。“行程码”和“健康码”（甬行码）非绿码或出现可疑症状的考生，应在当地疾控机构指导下按规定处置。对连续3次体温测量超过37.3℃的考生，应听从工作人员安排迅速转移到临时隔离区域，并做好个人防护，送至定点医院发热门诊就医。</w:t>
      </w:r>
    </w:p>
    <w:p>
      <w:pPr>
        <w:widowControl/>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六、</w:t>
      </w:r>
      <w:r>
        <w:rPr>
          <w:rFonts w:hint="eastAsia" w:ascii="仿宋_GB2312" w:hAnsi="仿宋_GB2312" w:eastAsia="仿宋_GB2312" w:cs="仿宋_GB2312"/>
          <w:color w:val="000000"/>
          <w:kern w:val="0"/>
          <w:sz w:val="24"/>
          <w:szCs w:val="24"/>
        </w:rPr>
        <w:t>考生应当履行个人健康证明义务及防疫相关要求事项。凡隐瞒或谎报旅居史、接触史、健康状况等疫情防控重点信息的，不配合工作人员进行健康检疫、询问、查询、送诊等造成严重后果的，取消其相应资格，如有违法行为将依法追究法律责任。</w:t>
      </w:r>
    </w:p>
    <w:p>
      <w:pPr>
        <w:widowControl/>
        <w:ind w:firstLine="480" w:firstLineChars="2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七、</w:t>
      </w:r>
      <w:r>
        <w:rPr>
          <w:rFonts w:hint="eastAsia" w:ascii="仿宋_GB2312" w:hAnsi="仿宋_GB2312" w:eastAsia="仿宋_GB2312" w:cs="仿宋_GB2312"/>
          <w:color w:val="000000"/>
          <w:kern w:val="0"/>
          <w:sz w:val="24"/>
          <w:szCs w:val="24"/>
        </w:rPr>
        <w:t>考生应当切实增强疫情防控意识，做好个人防护工作。外地考生可依据自身情况提前来做好准备。</w:t>
      </w:r>
    </w:p>
    <w:p>
      <w:pPr>
        <w:widowControl/>
        <w:ind w:firstLine="480" w:firstLineChars="200"/>
        <w:jc w:val="left"/>
        <w:rPr>
          <w:rFonts w:hint="eastAsia" w:cs="Arial" w:asciiTheme="minorEastAsia" w:hAnsiTheme="minorEastAsia"/>
          <w:color w:val="000000"/>
          <w:kern w:val="0"/>
          <w:sz w:val="24"/>
          <w:szCs w:val="24"/>
        </w:rPr>
      </w:pPr>
      <w:r>
        <w:rPr>
          <w:rFonts w:hint="eastAsia" w:ascii="仿宋_GB2312" w:hAnsi="仿宋_GB2312" w:eastAsia="仿宋_GB2312" w:cs="仿宋_GB2312"/>
          <w:color w:val="000000"/>
          <w:kern w:val="0"/>
          <w:sz w:val="24"/>
          <w:szCs w:val="24"/>
          <w:lang w:eastAsia="zh-CN"/>
        </w:rPr>
        <w:t>八、</w:t>
      </w:r>
      <w:r>
        <w:rPr>
          <w:rFonts w:hint="eastAsia" w:ascii="仿宋_GB2312" w:hAnsi="仿宋_GB2312" w:eastAsia="仿宋_GB2312" w:cs="仿宋_GB2312"/>
          <w:color w:val="000000"/>
          <w:kern w:val="0"/>
          <w:sz w:val="24"/>
          <w:szCs w:val="24"/>
        </w:rPr>
        <w:t>随着疫情的发展变化，如有最新防疫举措以届时疫情防控要求为准。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附件2</w:t>
      </w: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健康状况报告表</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 姓名：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身份证号：</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 性别：  □男     □女</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 报考单位：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报考岗位：</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 近14天内居住地址： ①</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 xml:space="preserve">                       ②</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③</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 目前健康码状态：              □绿码     □黄码    □红码</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 近14天内是否曾有发热、咳嗽等身体不适症状：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 近14天内是否曾去医院就诊：</w:t>
      </w:r>
    </w:p>
    <w:p>
      <w:pPr>
        <w:keepNext w:val="0"/>
        <w:keepLines w:val="0"/>
        <w:pageBreakBefore w:val="0"/>
        <w:widowControl w:val="0"/>
        <w:kinsoku/>
        <w:wordWrap/>
        <w:overflowPunct/>
        <w:topLinePunct w:val="0"/>
        <w:autoSpaceDE/>
        <w:autoSpaceDN/>
        <w:bidi w:val="0"/>
        <w:adjustRightInd/>
        <w:spacing w:line="380" w:lineRule="exact"/>
        <w:ind w:firstLine="360" w:firstLineChars="1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□是（如是，诊断疾病为：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 近14天内是否有以下情况：</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 健康码不全是绿码：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eastAsia="zh-CN"/>
        </w:rPr>
        <w:t>行程码</w:t>
      </w:r>
      <w:r>
        <w:rPr>
          <w:rFonts w:hint="eastAsia" w:ascii="仿宋_GB2312" w:hAnsi="仿宋_GB2312" w:eastAsia="仿宋_GB2312" w:cs="仿宋_GB2312"/>
          <w:color w:val="auto"/>
          <w:sz w:val="24"/>
          <w:szCs w:val="24"/>
        </w:rPr>
        <w:t>不全是绿码：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 xml:space="preserve"> 国内高风险地区旅居史：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 xml:space="preserve"> 境外旅居史：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 xml:space="preserve"> 与境外返甬人员有过接触史：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香港、澳门旅居史：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与新冠肺炎相关人员（确诊病例、疑似病例、无症状感染者）有过接触史：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 xml:space="preserve"> 最近是否做过核酸检测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如做过检测，结果为：                     □阴性   □阳性</w:t>
      </w: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手机号：                    申报人（签字）：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申报日期：202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     月     日</w:t>
      </w:r>
    </w:p>
    <w:p>
      <w:pPr>
        <w:keepNext w:val="0"/>
        <w:keepLines w:val="0"/>
        <w:pageBreakBefore w:val="0"/>
        <w:widowControl w:val="0"/>
        <w:kinsoku/>
        <w:wordWrap/>
        <w:overflowPunct/>
        <w:topLinePunct w:val="0"/>
        <w:autoSpaceDE/>
        <w:autoSpaceDN/>
        <w:bidi w:val="0"/>
        <w:adjustRightInd/>
        <w:spacing w:line="380" w:lineRule="exact"/>
        <w:jc w:val="center"/>
        <w:rPr>
          <w:rFonts w:hint="eastAsia" w:ascii="仿宋_GB2312" w:hAnsi="仿宋_GB2312" w:eastAsia="仿宋_GB2312" w:cs="仿宋_GB2312"/>
          <w:color w:val="auto"/>
          <w:spacing w:val="2"/>
          <w:sz w:val="24"/>
          <w:szCs w:val="24"/>
        </w:rPr>
      </w:pPr>
    </w:p>
    <w:p>
      <w:pPr>
        <w:pStyle w:val="4"/>
        <w:spacing w:before="0" w:beforeAutospacing="0" w:after="0" w:afterAutospacing="0"/>
        <w:ind w:firstLine="488" w:firstLineChars="200"/>
        <w:jc w:val="both"/>
        <w:rPr>
          <w:rFonts w:hint="eastAsia" w:ascii="仿宋_GB2312" w:hAnsi="仿宋_GB2312" w:eastAsia="仿宋_GB2312" w:cs="仿宋_GB2312"/>
          <w:color w:val="auto"/>
          <w:spacing w:val="2"/>
          <w:sz w:val="24"/>
          <w:szCs w:val="24"/>
        </w:rPr>
      </w:pPr>
      <w:r>
        <w:rPr>
          <w:rFonts w:hint="eastAsia" w:ascii="仿宋_GB2312" w:hAnsi="仿宋_GB2312" w:eastAsia="仿宋_GB2312" w:cs="仿宋_GB2312"/>
          <w:color w:val="auto"/>
          <w:spacing w:val="2"/>
          <w:sz w:val="24"/>
          <w:szCs w:val="24"/>
        </w:rPr>
        <w:t>（注：申报人员请如实填报以上内容，如有隐瞒或虚假填报，将依法追究责任</w:t>
      </w:r>
      <w:r>
        <w:rPr>
          <w:rFonts w:hint="eastAsia" w:ascii="仿宋_GB2312" w:hAnsi="仿宋_GB2312" w:eastAsia="仿宋_GB2312" w:cs="仿宋_GB2312"/>
          <w:color w:val="auto"/>
          <w:spacing w:val="2"/>
          <w:sz w:val="24"/>
          <w:szCs w:val="24"/>
          <w:lang w:eastAsia="zh-CN"/>
        </w:rPr>
        <w:t>。请于现场资格审核时携带纸质稿，本人签字，落款为当天。</w:t>
      </w:r>
      <w:r>
        <w:rPr>
          <w:rFonts w:hint="eastAsia" w:ascii="仿宋_GB2312" w:hAnsi="仿宋_GB2312" w:eastAsia="仿宋_GB2312" w:cs="仿宋_GB2312"/>
          <w:color w:val="auto"/>
          <w:spacing w:val="2"/>
          <w:sz w:val="24"/>
          <w:szCs w:val="24"/>
        </w:rPr>
        <w:t>）</w:t>
      </w:r>
    </w:p>
    <w:p>
      <w:pPr>
        <w:rPr>
          <w:rFonts w:hint="eastAsia" w:ascii="仿宋_GB2312" w:hAnsi="仿宋_GB2312" w:eastAsia="仿宋_GB2312" w:cs="仿宋_GB2312"/>
          <w:color w:val="auto"/>
          <w:spacing w:val="2"/>
          <w:sz w:val="24"/>
          <w:szCs w:val="24"/>
        </w:rPr>
      </w:pPr>
      <w:r>
        <w:rPr>
          <w:rFonts w:hint="eastAsia" w:ascii="仿宋_GB2312" w:hAnsi="仿宋_GB2312" w:eastAsia="仿宋_GB2312" w:cs="仿宋_GB2312"/>
          <w:color w:val="auto"/>
          <w:spacing w:val="2"/>
          <w:sz w:val="24"/>
          <w:szCs w:val="24"/>
        </w:rPr>
        <w:br w:type="page"/>
      </w:r>
    </w:p>
    <w:p>
      <w:pPr>
        <w:pStyle w:val="4"/>
        <w:spacing w:before="0" w:beforeAutospacing="0" w:after="0" w:afterAutospacing="0"/>
        <w:jc w:val="both"/>
        <w:rPr>
          <w:rFonts w:hint="eastAsia" w:asciiTheme="minorEastAsia" w:hAnsiTheme="minorEastAsia" w:eastAsiaTheme="minorEastAsia" w:cstheme="minorEastAsia"/>
          <w:b/>
          <w:bCs/>
          <w:color w:val="auto"/>
          <w:spacing w:val="2"/>
          <w:sz w:val="28"/>
          <w:szCs w:val="28"/>
          <w:lang w:val="en-US" w:eastAsia="zh-CN"/>
        </w:rPr>
      </w:pPr>
      <w:r>
        <w:rPr>
          <w:rFonts w:hint="eastAsia" w:asciiTheme="minorEastAsia" w:hAnsiTheme="minorEastAsia" w:eastAsiaTheme="minorEastAsia" w:cstheme="minorEastAsia"/>
          <w:b/>
          <w:bCs/>
          <w:color w:val="auto"/>
          <w:spacing w:val="2"/>
          <w:sz w:val="28"/>
          <w:szCs w:val="28"/>
          <w:lang w:eastAsia="zh-CN"/>
        </w:rPr>
        <w:t>附件</w:t>
      </w:r>
      <w:r>
        <w:rPr>
          <w:rFonts w:hint="eastAsia" w:asciiTheme="minorEastAsia" w:hAnsiTheme="minorEastAsia" w:eastAsiaTheme="minorEastAsia" w:cstheme="minorEastAsia"/>
          <w:b/>
          <w:bCs/>
          <w:color w:val="auto"/>
          <w:spacing w:val="2"/>
          <w:sz w:val="28"/>
          <w:szCs w:val="28"/>
          <w:lang w:val="en-US" w:eastAsia="zh-CN"/>
        </w:rPr>
        <w:t>3</w:t>
      </w:r>
    </w:p>
    <w:p>
      <w:pPr>
        <w:spacing w:line="540" w:lineRule="exact"/>
        <w:jc w:val="center"/>
        <w:textAlignment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rPr>
        <w:t>A</w:t>
      </w:r>
      <w:r>
        <w:rPr>
          <w:rFonts w:ascii="Times New Roman" w:hAnsi="Times New Roman" w:eastAsia="方正小标宋简体" w:cs="Times New Roman"/>
          <w:color w:val="000000"/>
          <w:sz w:val="36"/>
          <w:szCs w:val="36"/>
        </w:rPr>
        <w:t>RWU</w:t>
      </w:r>
      <w:r>
        <w:rPr>
          <w:rFonts w:ascii="Times New Roman" w:hAnsi="方正小标宋简体" w:eastAsia="方正小标宋简体" w:cs="Times New Roman"/>
          <w:color w:val="000000"/>
          <w:sz w:val="36"/>
          <w:szCs w:val="36"/>
        </w:rPr>
        <w:t>、</w:t>
      </w:r>
      <w:r>
        <w:rPr>
          <w:rFonts w:ascii="Times New Roman" w:hAnsi="Times New Roman" w:eastAsia="方正小标宋简体" w:cs="Times New Roman"/>
          <w:color w:val="000000"/>
          <w:sz w:val="36"/>
          <w:szCs w:val="36"/>
        </w:rPr>
        <w:t>THE</w:t>
      </w:r>
      <w:r>
        <w:rPr>
          <w:rFonts w:ascii="Times New Roman" w:hAnsi="方正小标宋简体" w:eastAsia="方正小标宋简体" w:cs="Times New Roman"/>
          <w:color w:val="000000"/>
          <w:sz w:val="36"/>
          <w:szCs w:val="36"/>
        </w:rPr>
        <w:t>、</w:t>
      </w:r>
      <w:r>
        <w:rPr>
          <w:rFonts w:ascii="Times New Roman" w:hAnsi="Times New Roman" w:eastAsia="方正小标宋简体" w:cs="Times New Roman"/>
          <w:color w:val="000000"/>
          <w:sz w:val="36"/>
          <w:szCs w:val="36"/>
        </w:rPr>
        <w:t>QS</w:t>
      </w:r>
      <w:r>
        <w:rPr>
          <w:rFonts w:ascii="Times New Roman" w:hAnsi="方正小标宋简体" w:eastAsia="方正小标宋简体" w:cs="Times New Roman"/>
          <w:color w:val="000000"/>
          <w:sz w:val="36"/>
          <w:szCs w:val="36"/>
        </w:rPr>
        <w:t>世界大学</w:t>
      </w:r>
    </w:p>
    <w:p>
      <w:pPr>
        <w:spacing w:line="540" w:lineRule="exact"/>
        <w:jc w:val="center"/>
        <w:textAlignment w:val="center"/>
        <w:rPr>
          <w:rFonts w:ascii="Times New Roman" w:hAnsi="Times New Roman" w:eastAsia="方正小标宋简体" w:cs="Times New Roman"/>
          <w:color w:val="000000"/>
          <w:sz w:val="36"/>
          <w:szCs w:val="36"/>
        </w:rPr>
      </w:pPr>
      <w:r>
        <w:rPr>
          <w:rFonts w:ascii="Times New Roman" w:hAnsi="方正小标宋简体" w:eastAsia="方正小标宋简体" w:cs="Times New Roman"/>
          <w:color w:val="000000"/>
          <w:sz w:val="36"/>
          <w:szCs w:val="36"/>
        </w:rPr>
        <w:t>排名前</w:t>
      </w:r>
      <w:r>
        <w:rPr>
          <w:rFonts w:ascii="Times New Roman" w:hAnsi="Times New Roman" w:eastAsia="方正小标宋简体" w:cs="Times New Roman"/>
          <w:color w:val="000000"/>
          <w:sz w:val="36"/>
          <w:szCs w:val="36"/>
        </w:rPr>
        <w:t>100</w:t>
      </w:r>
      <w:r>
        <w:rPr>
          <w:rFonts w:ascii="Times New Roman" w:hAnsi="方正小标宋简体" w:eastAsia="方正小标宋简体" w:cs="Times New Roman"/>
          <w:color w:val="000000"/>
          <w:sz w:val="36"/>
          <w:szCs w:val="36"/>
        </w:rPr>
        <w:t>名国</w:t>
      </w:r>
      <w:r>
        <w:rPr>
          <w:rFonts w:ascii="Times New Roman" w:hAnsi="Times New Roman" w:eastAsia="方正小标宋简体" w:cs="Times New Roman"/>
          <w:color w:val="000000"/>
          <w:sz w:val="36"/>
          <w:szCs w:val="36"/>
        </w:rPr>
        <w:t>(</w:t>
      </w:r>
      <w:r>
        <w:rPr>
          <w:rFonts w:ascii="Times New Roman" w:hAnsi="方正小标宋简体" w:eastAsia="方正小标宋简体" w:cs="Times New Roman"/>
          <w:color w:val="000000"/>
          <w:sz w:val="36"/>
          <w:szCs w:val="36"/>
        </w:rPr>
        <w:t>境</w:t>
      </w:r>
      <w:r>
        <w:rPr>
          <w:rFonts w:ascii="Times New Roman" w:hAnsi="Times New Roman" w:eastAsia="方正小标宋简体" w:cs="Times New Roman"/>
          <w:color w:val="000000"/>
          <w:sz w:val="36"/>
          <w:szCs w:val="36"/>
        </w:rPr>
        <w:t>)</w:t>
      </w:r>
      <w:r>
        <w:rPr>
          <w:rFonts w:ascii="Times New Roman" w:hAnsi="方正小标宋简体" w:eastAsia="方正小标宋简体" w:cs="Times New Roman"/>
          <w:color w:val="000000"/>
          <w:sz w:val="36"/>
          <w:szCs w:val="36"/>
        </w:rPr>
        <w:t>外高校名单</w:t>
      </w:r>
    </w:p>
    <w:p>
      <w:pPr>
        <w:spacing w:line="440" w:lineRule="exact"/>
        <w:ind w:firstLine="3520" w:firstLineChars="1100"/>
        <w:textAlignment w:val="center"/>
        <w:rPr>
          <w:rFonts w:ascii="Times New Roman" w:hAnsi="楷体" w:eastAsia="楷体" w:cs="Times New Roman"/>
          <w:color w:val="000000"/>
          <w:sz w:val="28"/>
          <w:szCs w:val="28"/>
        </w:rPr>
      </w:pPr>
      <w:r>
        <w:rPr>
          <w:rFonts w:ascii="Times New Roman" w:hAnsi="Times New Roman" w:eastAsia="楷体_GB2312" w:cs="Times New Roman"/>
          <w:sz w:val="32"/>
          <w:szCs w:val="22"/>
        </w:rPr>
        <w:t>（共1</w:t>
      </w:r>
      <w:r>
        <w:rPr>
          <w:rFonts w:hint="eastAsia" w:ascii="Times New Roman" w:hAnsi="Times New Roman" w:eastAsia="楷体_GB2312" w:cs="Times New Roman"/>
          <w:sz w:val="32"/>
          <w:szCs w:val="22"/>
        </w:rPr>
        <w:t>39</w:t>
      </w:r>
      <w:r>
        <w:rPr>
          <w:rFonts w:ascii="Times New Roman" w:hAnsi="Times New Roman" w:eastAsia="楷体_GB2312" w:cs="Times New Roman"/>
          <w:sz w:val="32"/>
          <w:szCs w:val="22"/>
        </w:rPr>
        <w:t>所）</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美国</w:t>
      </w:r>
      <w:r>
        <w:rPr>
          <w:rFonts w:hint="eastAsia" w:ascii="Times New Roman" w:hAnsi="Times New Roman" w:eastAsia="楷体_GB2312" w:cs="Times New Roman"/>
          <w:color w:val="000000"/>
          <w:sz w:val="28"/>
          <w:szCs w:val="28"/>
        </w:rPr>
        <w:t>47</w:t>
      </w:r>
      <w:r>
        <w:rPr>
          <w:rFonts w:ascii="Times New Roman" w:hAnsi="楷体" w:eastAsia="楷体" w:cs="Times New Roman"/>
          <w:color w:val="000000"/>
          <w:sz w:val="28"/>
          <w:szCs w:val="28"/>
        </w:rPr>
        <w:t>所：</w:t>
      </w:r>
      <w:r>
        <w:rPr>
          <w:rFonts w:ascii="Times New Roman" w:hAnsi="Times New Roman" w:eastAsia="仿宋_GB2312" w:cs="Times New Roman"/>
          <w:color w:val="000000"/>
          <w:sz w:val="28"/>
          <w:szCs w:val="28"/>
        </w:rPr>
        <w:t>埃默里大学、北卡罗来纳大学教堂山分校、宾夕法尼亚大学、宾州州立大学（主校区）、波士顿大学、布朗大学、德克萨斯大学奥斯汀分校、</w:t>
      </w:r>
      <w:r>
        <w:rPr>
          <w:rFonts w:hint="eastAsia" w:ascii="宋体" w:hAnsi="宋体" w:eastAsia="宋体" w:cs="宋体"/>
          <w:color w:val="000000"/>
          <w:sz w:val="28"/>
          <w:szCs w:val="28"/>
        </w:rPr>
        <w:t>徳</w:t>
      </w:r>
      <w:r>
        <w:rPr>
          <w:rFonts w:hint="eastAsia" w:ascii="仿宋_GB2312" w:hAnsi="仿宋_GB2312" w:eastAsia="仿宋_GB2312" w:cs="仿宋_GB2312"/>
          <w:color w:val="000000"/>
          <w:sz w:val="28"/>
          <w:szCs w:val="28"/>
        </w:rPr>
        <w:t>克萨斯大学</w:t>
      </w:r>
      <w:r>
        <w:rPr>
          <w:rFonts w:ascii="Times New Roman" w:hAnsi="Times New Roman" w:eastAsia="仿宋_GB2312" w:cs="Times New Roman"/>
          <w:color w:val="000000"/>
          <w:sz w:val="28"/>
          <w:szCs w:val="28"/>
        </w:rPr>
        <w:t>安德森癌症中心、</w:t>
      </w:r>
      <w:r>
        <w:rPr>
          <w:rFonts w:hint="eastAsia" w:ascii="宋体" w:hAnsi="宋体" w:eastAsia="宋体" w:cs="宋体"/>
          <w:color w:val="000000"/>
          <w:sz w:val="28"/>
          <w:szCs w:val="28"/>
        </w:rPr>
        <w:t>徳</w:t>
      </w:r>
      <w:r>
        <w:rPr>
          <w:rFonts w:hint="eastAsia" w:ascii="仿宋_GB2312" w:hAnsi="仿宋_GB2312" w:eastAsia="仿宋_GB2312" w:cs="仿宋_GB2312"/>
          <w:color w:val="000000"/>
          <w:sz w:val="28"/>
          <w:szCs w:val="28"/>
        </w:rPr>
        <w:t>克萨斯大学</w:t>
      </w:r>
      <w:r>
        <w:rPr>
          <w:rFonts w:ascii="Times New Roman" w:hAnsi="Times New Roman" w:eastAsia="仿宋_GB2312" w:cs="Times New Roman"/>
          <w:color w:val="000000"/>
          <w:sz w:val="28"/>
          <w:szCs w:val="28"/>
        </w:rPr>
        <w:t>西南医学中心、杜克大学、俄亥俄州立大学（主校区）、范德堡大学、佛罗里达大学、哥伦比亚大学、哈佛大学、华盛顿大学、</w:t>
      </w:r>
      <w:r>
        <w:rPr>
          <w:rFonts w:hint="eastAsia" w:ascii="Times New Roman" w:hAnsi="Times New Roman" w:eastAsia="仿宋_GB2312" w:cs="Times New Roman"/>
          <w:color w:val="000000"/>
          <w:sz w:val="28"/>
          <w:szCs w:val="28"/>
        </w:rPr>
        <w:t>圣路易斯华盛顿大学</w:t>
      </w:r>
      <w:r>
        <w:rPr>
          <w:rFonts w:ascii="Times New Roman" w:hAnsi="Times New Roman" w:eastAsia="仿宋_GB2312" w:cs="Times New Roman"/>
          <w:color w:val="000000"/>
          <w:sz w:val="28"/>
          <w:szCs w:val="28"/>
        </w:rPr>
        <w:t>、加州大学欧文分校、加州大学圣塔芭芭拉分校、加州大学伯克利分校、加州大学戴维斯分校、加州大学洛杉矶分校、加州大学圣地亚哥分校、加州大学旧金山分校、加州理工学院、卡内基梅隆大学、康奈尔大学、科罗拉多大学波尔得分校、莱斯大学、洛克菲勒大学、麻省理工学院、马里兰大学帕克校区、密歇根大学、明尼苏达大学、南加州大学、纽约大学、匹兹堡大学、普林斯顿大学、斯坦福大学、威斯康星大学麦迪逊分校、西北大学、耶鲁大学、伊利诺伊大学厄巴纳香槟分校、约翰</w:t>
      </w:r>
      <w:r>
        <w:rPr>
          <w:rFonts w:hint="eastAsia" w:ascii="Times New Roman" w:hAnsi="Times New Roman" w:eastAsia="仿宋_GB2312" w:cs="Times New Roman"/>
          <w:color w:val="000000"/>
          <w:sz w:val="28"/>
          <w:szCs w:val="28"/>
        </w:rPr>
        <w:t>斯·</w:t>
      </w:r>
      <w:r>
        <w:rPr>
          <w:rFonts w:ascii="Times New Roman" w:hAnsi="Times New Roman" w:eastAsia="仿宋_GB2312" w:cs="Times New Roman"/>
          <w:color w:val="000000"/>
          <w:sz w:val="28"/>
          <w:szCs w:val="28"/>
        </w:rPr>
        <w:t>霍普金斯大学、芝加哥大学、佐治亚理工学院、普渡大学西拉法叶</w:t>
      </w:r>
      <w:r>
        <w:rPr>
          <w:rFonts w:hint="eastAsia" w:ascii="Times New Roman" w:hAnsi="Times New Roman" w:eastAsia="仿宋_GB2312" w:cs="Times New Roman"/>
          <w:color w:val="000000"/>
          <w:sz w:val="28"/>
          <w:szCs w:val="28"/>
        </w:rPr>
        <w:t>分校</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英国</w:t>
      </w:r>
      <w:r>
        <w:rPr>
          <w:rFonts w:ascii="Times New Roman" w:hAnsi="Times New Roman" w:eastAsia="楷体_GB2312" w:cs="Times New Roman"/>
          <w:color w:val="000000"/>
          <w:sz w:val="28"/>
          <w:szCs w:val="28"/>
        </w:rPr>
        <w:t>1</w:t>
      </w:r>
      <w:r>
        <w:rPr>
          <w:rFonts w:hint="eastAsia" w:ascii="Times New Roman" w:hAnsi="Times New Roman" w:eastAsia="楷体_GB2312" w:cs="Times New Roman"/>
          <w:color w:val="000000"/>
          <w:sz w:val="28"/>
          <w:szCs w:val="28"/>
        </w:rPr>
        <w:t>7</w:t>
      </w:r>
      <w:r>
        <w:rPr>
          <w:rFonts w:ascii="Times New Roman" w:hAnsi="楷体" w:eastAsia="楷体" w:cs="Times New Roman"/>
          <w:color w:val="000000"/>
          <w:sz w:val="28"/>
          <w:szCs w:val="28"/>
        </w:rPr>
        <w:t>所：</w:t>
      </w:r>
      <w:r>
        <w:rPr>
          <w:rFonts w:ascii="Times New Roman" w:hAnsi="Times New Roman" w:eastAsia="仿宋_GB2312" w:cs="Times New Roman"/>
          <w:color w:val="000000"/>
          <w:sz w:val="28"/>
          <w:szCs w:val="28"/>
        </w:rPr>
        <w:t>爱丁堡大学、伯明翰大学、布里斯托大学、帝国理工学院、杜伦大学、格拉斯哥大学、华威大学、剑桥大学、伦敦大学学院、伦敦国王学院、伦敦政治经济学院、曼彻斯特大学、牛津大学、圣安德鲁斯大学、谢菲尔德大学、利兹大学、南安普顿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德国</w:t>
      </w:r>
      <w:r>
        <w:rPr>
          <w:rFonts w:hint="eastAsia" w:ascii="Times New Roman" w:hAnsi="Times New Roman" w:eastAsia="楷体_GB2312" w:cs="Times New Roman"/>
          <w:color w:val="000000"/>
          <w:sz w:val="28"/>
          <w:szCs w:val="28"/>
        </w:rPr>
        <w:t>8</w:t>
      </w:r>
      <w:r>
        <w:rPr>
          <w:rFonts w:ascii="Times New Roman" w:hAnsi="Times New Roman" w:eastAsia="楷体_GB2312" w:cs="Times New Roman"/>
          <w:color w:val="000000"/>
          <w:sz w:val="28"/>
          <w:szCs w:val="28"/>
        </w:rPr>
        <w:t>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柏林洪堡大学、波恩大学、</w:t>
      </w:r>
      <w:r>
        <w:rPr>
          <w:rFonts w:hint="eastAsia" w:ascii="Times New Roman" w:hAnsi="Times New Roman" w:eastAsia="仿宋_GB2312" w:cs="Times New Roman"/>
          <w:color w:val="000000"/>
          <w:sz w:val="28"/>
          <w:szCs w:val="28"/>
        </w:rPr>
        <w:t>图</w:t>
      </w:r>
      <w:r>
        <w:rPr>
          <w:rFonts w:ascii="Times New Roman" w:hAnsi="Times New Roman" w:eastAsia="仿宋_GB2312" w:cs="Times New Roman"/>
          <w:color w:val="000000"/>
          <w:sz w:val="28"/>
          <w:szCs w:val="28"/>
        </w:rPr>
        <w:t>宾根大学、弗莱堡大学、海德堡大学、慕尼黑大学、慕尼黑工业大学、</w:t>
      </w:r>
      <w:r>
        <w:rPr>
          <w:rFonts w:hint="eastAsia" w:ascii="Times New Roman" w:hAnsi="Times New Roman" w:eastAsia="仿宋_GB2312" w:cs="Times New Roman"/>
          <w:color w:val="000000"/>
          <w:sz w:val="28"/>
          <w:szCs w:val="28"/>
        </w:rPr>
        <w:t>柏林夏里特医科大学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澳大利亚</w:t>
      </w:r>
      <w:r>
        <w:rPr>
          <w:rFonts w:hint="eastAsia" w:ascii="Times New Roman" w:hAnsi="Times New Roman" w:eastAsia="楷体_GB2312" w:cs="Times New Roman"/>
          <w:color w:val="000000"/>
          <w:sz w:val="28"/>
          <w:szCs w:val="28"/>
        </w:rPr>
        <w:t>7</w:t>
      </w:r>
      <w:r>
        <w:rPr>
          <w:rFonts w:ascii="Times New Roman" w:hAnsi="Times New Roman" w:eastAsia="楷体_GB2312" w:cs="Times New Roman"/>
          <w:color w:val="000000"/>
          <w:sz w:val="28"/>
          <w:szCs w:val="28"/>
        </w:rPr>
        <w:t>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澳大利亚国立大学、昆士兰大学、莫纳什大学、墨尔本大学、西澳大学、悉尼大学、新南威尔士大学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法国</w:t>
      </w:r>
      <w:r>
        <w:rPr>
          <w:rFonts w:hint="eastAsia" w:ascii="Times New Roman" w:hAnsi="Times New Roman" w:eastAsia="楷体_GB2312" w:cs="Times New Roman"/>
          <w:color w:val="000000"/>
          <w:sz w:val="28"/>
          <w:szCs w:val="28"/>
        </w:rPr>
        <w:t>5</w:t>
      </w:r>
      <w:r>
        <w:rPr>
          <w:rFonts w:ascii="Times New Roman" w:hAnsi="Times New Roman" w:eastAsia="楷体_GB2312" w:cs="Times New Roman"/>
          <w:color w:val="000000"/>
          <w:sz w:val="28"/>
          <w:szCs w:val="28"/>
        </w:rPr>
        <w:t>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巴黎大学、巴黎第四大学（索邦大学）、巴黎萨克雷大学、巴黎文理研究大学</w:t>
      </w:r>
      <w:r>
        <w:rPr>
          <w:rFonts w:hint="eastAsia" w:ascii="Times New Roman" w:hAnsi="Times New Roman" w:eastAsia="仿宋_GB2312" w:cs="Times New Roman"/>
          <w:color w:val="000000"/>
          <w:sz w:val="28"/>
          <w:szCs w:val="28"/>
        </w:rPr>
        <w:t>（巴黎科学艺术人文大学）</w:t>
      </w:r>
      <w:r>
        <w:rPr>
          <w:rFonts w:ascii="Times New Roman" w:hAnsi="Times New Roman" w:eastAsia="仿宋_GB2312" w:cs="Times New Roman"/>
          <w:color w:val="000000"/>
          <w:sz w:val="28"/>
          <w:szCs w:val="28"/>
        </w:rPr>
        <w:t>、格勒诺布尔大学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荷兰</w:t>
      </w:r>
      <w:r>
        <w:rPr>
          <w:rFonts w:ascii="Times New Roman" w:hAnsi="Times New Roman" w:eastAsia="楷体_GB2312" w:cs="Times New Roman"/>
          <w:color w:val="000000"/>
          <w:sz w:val="28"/>
          <w:szCs w:val="28"/>
        </w:rPr>
        <w:t>8所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阿姆斯特丹大学、代尔夫特理工大学、格罗宁根大学、莱顿大学、鹿特丹伊拉斯姆斯大学、瓦格宁根大学、乌得勒支大学、伊拉兹马斯大学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瑞士</w:t>
      </w:r>
      <w:r>
        <w:rPr>
          <w:rFonts w:ascii="Times New Roman" w:hAnsi="Times New Roman" w:eastAsia="楷体_GB2312" w:cs="Times New Roman"/>
          <w:color w:val="000000"/>
          <w:sz w:val="28"/>
          <w:szCs w:val="28"/>
        </w:rPr>
        <w:t>5所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巴塞尔大学、洛桑联邦理工学院、日内瓦大学、苏黎世大学、苏黎世联邦理工学院</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日本</w:t>
      </w:r>
      <w:r>
        <w:rPr>
          <w:rFonts w:ascii="Times New Roman" w:hAnsi="Times New Roman" w:eastAsia="楷体_GB2312" w:cs="Times New Roman"/>
          <w:color w:val="000000"/>
          <w:sz w:val="28"/>
          <w:szCs w:val="28"/>
        </w:rPr>
        <w:t>6所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大阪大学、东北大学、东京大学、东京工业大学、京都大学、名古屋大学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加拿大</w:t>
      </w:r>
      <w:r>
        <w:rPr>
          <w:rFonts w:ascii="Times New Roman" w:hAnsi="Times New Roman" w:eastAsia="楷体_GB2312" w:cs="Times New Roman"/>
          <w:color w:val="000000"/>
          <w:sz w:val="28"/>
          <w:szCs w:val="28"/>
        </w:rPr>
        <w:t>5所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多伦多大学、麦吉尔大学、麦克马斯特大学、不列颠哥伦比亚大学、蒙特利尔大学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中国香</w:t>
      </w:r>
      <w:r>
        <w:rPr>
          <w:rFonts w:ascii="Times New Roman" w:hAnsi="Times New Roman" w:eastAsia="楷体_GB2312" w:cs="Times New Roman"/>
          <w:color w:val="000000"/>
          <w:sz w:val="28"/>
          <w:szCs w:val="28"/>
        </w:rPr>
        <w:t>港</w:t>
      </w:r>
      <w:r>
        <w:rPr>
          <w:rFonts w:hint="eastAsia" w:ascii="Times New Roman" w:hAnsi="Times New Roman" w:eastAsia="楷体_GB2312" w:cs="Times New Roman"/>
          <w:color w:val="000000"/>
          <w:sz w:val="28"/>
          <w:szCs w:val="28"/>
        </w:rPr>
        <w:t>5</w:t>
      </w:r>
      <w:r>
        <w:rPr>
          <w:rFonts w:ascii="Times New Roman" w:hAnsi="Times New Roman" w:eastAsia="楷体_GB2312" w:cs="Times New Roman"/>
          <w:color w:val="000000"/>
          <w:sz w:val="28"/>
          <w:szCs w:val="28"/>
        </w:rPr>
        <w:t>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香港大学、香港科技大学、香港理工大学、香港中文大学</w:t>
      </w:r>
      <w:r>
        <w:rPr>
          <w:rFonts w:hint="eastAsia" w:ascii="Times New Roman" w:hAnsi="Times New Roman" w:eastAsia="仿宋_GB2312" w:cs="Times New Roman"/>
          <w:color w:val="000000"/>
          <w:sz w:val="28"/>
          <w:szCs w:val="28"/>
        </w:rPr>
        <w:t>、香港城市大学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瑞典</w:t>
      </w:r>
      <w:r>
        <w:rPr>
          <w:rFonts w:ascii="Times New Roman" w:hAnsi="Times New Roman" w:eastAsia="楷体_GB2312" w:cs="Times New Roman"/>
          <w:color w:val="000000"/>
          <w:sz w:val="28"/>
          <w:szCs w:val="28"/>
        </w:rPr>
        <w:t>5所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皇家理工学院、卡罗林斯卡学院、隆德大学、斯德哥尔摩大学、乌普萨拉大学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韩</w:t>
      </w:r>
      <w:r>
        <w:rPr>
          <w:rFonts w:ascii="Times New Roman" w:hAnsi="Times New Roman" w:eastAsia="楷体_GB2312" w:cs="Times New Roman"/>
          <w:color w:val="000000"/>
          <w:sz w:val="28"/>
          <w:szCs w:val="28"/>
        </w:rPr>
        <w:t>国6所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成均馆大学、韩国科学技术研究院、浦项科技大学、首尔国立大学、延世大学</w:t>
      </w:r>
      <w:r>
        <w:rPr>
          <w:rFonts w:hint="eastAsia" w:ascii="Times New Roman" w:hAnsi="Times New Roman" w:eastAsia="仿宋_GB2312" w:cs="Times New Roman"/>
          <w:color w:val="000000"/>
          <w:sz w:val="28"/>
          <w:szCs w:val="28"/>
        </w:rPr>
        <w:t>、高丽大学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新加</w:t>
      </w:r>
      <w:r>
        <w:rPr>
          <w:rFonts w:ascii="Times New Roman" w:hAnsi="Times New Roman" w:eastAsia="楷体_GB2312" w:cs="Times New Roman"/>
          <w:color w:val="000000"/>
          <w:sz w:val="28"/>
          <w:szCs w:val="28"/>
        </w:rPr>
        <w:t>坡2所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南洋理工大学、新加坡国立大学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丹麦</w:t>
      </w:r>
      <w:r>
        <w:rPr>
          <w:rFonts w:hint="eastAsia" w:ascii="Times New Roman" w:hAnsi="Times New Roman" w:eastAsia="楷体_GB2312" w:cs="Times New Roman"/>
          <w:color w:val="000000"/>
          <w:sz w:val="28"/>
          <w:szCs w:val="28"/>
        </w:rPr>
        <w:t>3</w:t>
      </w:r>
      <w:r>
        <w:rPr>
          <w:rFonts w:ascii="Times New Roman" w:hAnsi="Times New Roman" w:eastAsia="楷体_GB2312" w:cs="Times New Roman"/>
          <w:color w:val="000000"/>
          <w:sz w:val="28"/>
          <w:szCs w:val="28"/>
        </w:rPr>
        <w:t>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奥尔胡斯大学、哥本哈根大学</w:t>
      </w:r>
      <w:r>
        <w:rPr>
          <w:rFonts w:hint="eastAsia" w:ascii="Times New Roman" w:hAnsi="Times New Roman" w:eastAsia="仿宋_GB2312" w:cs="Times New Roman"/>
          <w:color w:val="000000"/>
          <w:sz w:val="28"/>
          <w:szCs w:val="28"/>
        </w:rPr>
        <w:t>、丹麦技术大学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俄罗斯1</w:t>
      </w:r>
      <w:r>
        <w:rPr>
          <w:rFonts w:ascii="Times New Roman" w:hAnsi="Times New Roman" w:eastAsia="楷体_GB2312" w:cs="Times New Roman"/>
          <w:color w:val="000000"/>
          <w:sz w:val="28"/>
          <w:szCs w:val="28"/>
        </w:rPr>
        <w:t>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莫斯科国立大学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比利时</w:t>
      </w:r>
      <w:r>
        <w:rPr>
          <w:rFonts w:ascii="Times New Roman" w:hAnsi="Times New Roman" w:eastAsia="楷体_GB2312" w:cs="Times New Roman"/>
          <w:color w:val="000000"/>
          <w:sz w:val="28"/>
          <w:szCs w:val="28"/>
        </w:rPr>
        <w:t>2</w:t>
      </w:r>
      <w:r>
        <w:rPr>
          <w:rFonts w:ascii="Times New Roman" w:hAnsi="楷体" w:eastAsia="楷体" w:cs="Times New Roman"/>
          <w:color w:val="000000"/>
          <w:sz w:val="28"/>
          <w:szCs w:val="28"/>
        </w:rPr>
        <w:t>所：</w:t>
      </w:r>
      <w:r>
        <w:rPr>
          <w:rFonts w:ascii="Times New Roman" w:hAnsi="Times New Roman" w:eastAsia="仿宋_GB2312" w:cs="Times New Roman"/>
          <w:color w:val="000000"/>
          <w:sz w:val="28"/>
          <w:szCs w:val="28"/>
        </w:rPr>
        <w:t>根特大学、鲁汶大学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芬兰</w:t>
      </w:r>
      <w:r>
        <w:rPr>
          <w:rFonts w:ascii="Times New Roman" w:hAnsi="Times New Roman" w:eastAsia="楷体_GB2312" w:cs="Times New Roman"/>
          <w:color w:val="000000"/>
          <w:sz w:val="28"/>
          <w:szCs w:val="28"/>
        </w:rPr>
        <w:t>1所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赫尔辛基大学</w:t>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以色列</w:t>
      </w:r>
      <w:r>
        <w:rPr>
          <w:rFonts w:ascii="Times New Roman" w:hAnsi="Times New Roman" w:eastAsia="楷体_GB2312" w:cs="Times New Roman"/>
          <w:color w:val="000000"/>
          <w:sz w:val="28"/>
          <w:szCs w:val="28"/>
        </w:rPr>
        <w:t>1所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魏茨曼科学研究学院</w:t>
      </w:r>
      <w:r>
        <w:rPr>
          <w:rFonts w:ascii="Times New Roman" w:hAnsi="Times New Roman" w:eastAsia="仿宋_GB2312" w:cs="Times New Roman"/>
          <w:color w:val="000000"/>
          <w:sz w:val="28"/>
          <w:szCs w:val="28"/>
        </w:rPr>
        <w:tab/>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阿根</w:t>
      </w:r>
      <w:r>
        <w:rPr>
          <w:rFonts w:ascii="Times New Roman" w:hAnsi="Times New Roman" w:eastAsia="楷体_GB2312" w:cs="Times New Roman"/>
          <w:color w:val="000000"/>
          <w:sz w:val="28"/>
          <w:szCs w:val="28"/>
        </w:rPr>
        <w:t>廷1所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布宜诺斯艾利斯大学</w:t>
      </w:r>
      <w:r>
        <w:rPr>
          <w:rFonts w:ascii="Times New Roman" w:hAnsi="Times New Roman" w:eastAsia="仿宋_GB2312" w:cs="Times New Roman"/>
          <w:color w:val="000000"/>
          <w:sz w:val="28"/>
          <w:szCs w:val="28"/>
        </w:rPr>
        <w:tab/>
      </w:r>
      <w:r>
        <w:rPr>
          <w:rFonts w:ascii="Times New Roman" w:hAnsi="Times New Roman" w:eastAsia="仿宋_GB2312" w:cs="Times New Roman"/>
          <w:color w:val="000000"/>
          <w:sz w:val="28"/>
          <w:szCs w:val="28"/>
        </w:rPr>
        <w:tab/>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挪威</w:t>
      </w:r>
      <w:r>
        <w:rPr>
          <w:rFonts w:ascii="Times New Roman" w:hAnsi="Times New Roman" w:eastAsia="楷体_GB2312" w:cs="Times New Roman"/>
          <w:color w:val="000000"/>
          <w:sz w:val="28"/>
          <w:szCs w:val="28"/>
        </w:rPr>
        <w:t>1所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奥斯陆大学</w:t>
      </w:r>
      <w:r>
        <w:rPr>
          <w:rFonts w:ascii="Times New Roman" w:hAnsi="Times New Roman" w:eastAsia="仿宋_GB2312" w:cs="Times New Roman"/>
          <w:color w:val="000000"/>
          <w:sz w:val="28"/>
          <w:szCs w:val="28"/>
        </w:rPr>
        <w:tab/>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新西</w:t>
      </w:r>
      <w:r>
        <w:rPr>
          <w:rFonts w:ascii="Times New Roman" w:hAnsi="Times New Roman" w:eastAsia="楷体_GB2312" w:cs="Times New Roman"/>
          <w:color w:val="000000"/>
          <w:sz w:val="28"/>
          <w:szCs w:val="28"/>
        </w:rPr>
        <w:t>兰1所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奥克兰大学</w:t>
      </w:r>
      <w:r>
        <w:rPr>
          <w:rFonts w:ascii="Times New Roman" w:hAnsi="Times New Roman" w:eastAsia="仿宋_GB2312" w:cs="Times New Roman"/>
          <w:color w:val="000000"/>
          <w:sz w:val="28"/>
          <w:szCs w:val="28"/>
        </w:rPr>
        <w:tab/>
      </w:r>
    </w:p>
    <w:p>
      <w:pPr>
        <w:spacing w:line="440" w:lineRule="exact"/>
        <w:ind w:firstLine="560" w:firstLineChars="200"/>
        <w:textAlignment w:val="center"/>
        <w:rPr>
          <w:rFonts w:ascii="Times New Roman" w:hAnsi="Times New Roman" w:eastAsia="仿宋_GB2312" w:cs="Times New Roman"/>
          <w:color w:val="000000"/>
          <w:sz w:val="28"/>
          <w:szCs w:val="28"/>
        </w:rPr>
      </w:pPr>
      <w:r>
        <w:rPr>
          <w:rFonts w:ascii="Times New Roman" w:hAnsi="楷体" w:eastAsia="楷体" w:cs="Times New Roman"/>
          <w:color w:val="000000"/>
          <w:sz w:val="28"/>
          <w:szCs w:val="28"/>
        </w:rPr>
        <w:t>中国台</w:t>
      </w:r>
      <w:r>
        <w:rPr>
          <w:rFonts w:ascii="Times New Roman" w:hAnsi="Times New Roman" w:eastAsia="楷体_GB2312" w:cs="Times New Roman"/>
          <w:color w:val="000000"/>
          <w:sz w:val="28"/>
          <w:szCs w:val="28"/>
        </w:rPr>
        <w:t>湾1所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台湾大学</w:t>
      </w:r>
    </w:p>
    <w:p>
      <w:pPr>
        <w:spacing w:line="440" w:lineRule="exact"/>
        <w:ind w:firstLine="560" w:firstLineChars="200"/>
        <w:textAlignment w:val="center"/>
        <w:rPr>
          <w:rFonts w:ascii="Times New Roman" w:hAnsi="Times New Roman" w:eastAsia="仿宋_GB2312" w:cs="Times New Roman"/>
          <w:color w:val="000000"/>
          <w:sz w:val="32"/>
          <w:szCs w:val="32"/>
        </w:rPr>
      </w:pPr>
      <w:r>
        <w:rPr>
          <w:rFonts w:ascii="Times New Roman" w:hAnsi="楷体" w:eastAsia="楷体" w:cs="Times New Roman"/>
          <w:color w:val="000000"/>
          <w:sz w:val="28"/>
          <w:szCs w:val="28"/>
        </w:rPr>
        <w:t>马来西</w:t>
      </w:r>
      <w:r>
        <w:rPr>
          <w:rFonts w:ascii="Times New Roman" w:hAnsi="Times New Roman" w:eastAsia="楷体_GB2312" w:cs="Times New Roman"/>
          <w:color w:val="000000"/>
          <w:sz w:val="28"/>
          <w:szCs w:val="28"/>
        </w:rPr>
        <w:t>亚1所</w:t>
      </w:r>
      <w:r>
        <w:rPr>
          <w:rFonts w:ascii="Times New Roman" w:hAnsi="楷体" w:eastAsia="楷体" w:cs="Times New Roman"/>
          <w:color w:val="000000"/>
          <w:sz w:val="28"/>
          <w:szCs w:val="28"/>
        </w:rPr>
        <w:t>：</w:t>
      </w:r>
      <w:r>
        <w:rPr>
          <w:rFonts w:ascii="Times New Roman" w:hAnsi="Times New Roman" w:eastAsia="仿宋_GB2312" w:cs="Times New Roman"/>
          <w:color w:val="000000"/>
          <w:sz w:val="28"/>
          <w:szCs w:val="28"/>
        </w:rPr>
        <w:t>马来亚大学</w:t>
      </w:r>
    </w:p>
    <w:p>
      <w:pPr>
        <w:spacing w:line="440" w:lineRule="exact"/>
        <w:ind w:firstLine="560" w:firstLineChars="200"/>
        <w:textAlignment w:val="center"/>
        <w:rPr>
          <w:rFonts w:ascii="Times New Roman" w:hAnsi="Times New Roman" w:eastAsia="仿宋_GB2312" w:cs="Times New Roman"/>
          <w:color w:val="000000"/>
          <w:sz w:val="28"/>
          <w:szCs w:val="28"/>
        </w:rPr>
      </w:pPr>
    </w:p>
    <w:p>
      <w:pPr>
        <w:widowControl/>
        <w:spacing w:line="560" w:lineRule="exact"/>
        <w:textAlignment w:val="center"/>
        <w:rPr>
          <w:rFonts w:ascii="方正仿宋简体" w:hAnsi="Times New Roman" w:eastAsia="方正仿宋简体" w:cs="Times New Roman"/>
          <w:color w:val="000000"/>
          <w:kern w:val="0"/>
          <w:sz w:val="32"/>
          <w:szCs w:val="32"/>
        </w:rPr>
      </w:pPr>
    </w:p>
    <w:p>
      <w:pPr>
        <w:pStyle w:val="4"/>
        <w:spacing w:before="0" w:beforeAutospacing="0" w:after="0" w:afterAutospacing="0"/>
        <w:jc w:val="both"/>
        <w:rPr>
          <w:rFonts w:hint="default" w:ascii="仿宋_GB2312" w:hAnsi="仿宋_GB2312" w:eastAsia="仿宋_GB2312" w:cs="仿宋_GB2312"/>
          <w:color w:val="auto"/>
          <w:spacing w:val="2"/>
          <w:sz w:val="24"/>
          <w:szCs w:val="24"/>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B0ECF"/>
    <w:rsid w:val="17FB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Times New Roman" w:eastAsia="Times New Roman" w:cs="??_GB2312"/>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2022-01-30T11:02:00Z</dcterms:created>
  <dc:creator>nbgzw-hjf</dc:creator>
  <cp:lastModifiedBy>nbgzw-hjf</cp:lastModifiedBy>
  <dcterms:modified xsi:type="dcterms:W3CDTF">2022-01-30T11:03:45Z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